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  <w:gridCol w:w="2156"/>
      </w:tblGrid>
      <w:tr w:rsidR="001F75D3" w:rsidRPr="00A95024" w:rsidTr="000D1F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75D3" w:rsidRPr="00A95024" w:rsidRDefault="001F75D3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i/>
                <w:lang w:val="en-US" w:eastAsia="en-US"/>
              </w:rPr>
            </w:pPr>
            <w:r w:rsidRPr="00A95024">
              <w:rPr>
                <w:rFonts w:ascii="Playfair Display" w:hAnsi="Playfair Display"/>
                <w:lang w:val="en-US" w:eastAsia="en-US"/>
              </w:rPr>
              <w:t>Name of course:</w:t>
            </w:r>
            <w:r w:rsidRPr="00A95024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bookmarkStart w:id="0" w:name="_GoBack"/>
            <w:r w:rsidRPr="00A95024">
              <w:rPr>
                <w:rFonts w:ascii="Playfair Display" w:hAnsi="Playfair Display"/>
                <w:b/>
                <w:lang w:val="en-US" w:eastAsia="en-US"/>
              </w:rPr>
              <w:t>Introduction to EU Law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75D3" w:rsidRPr="00A95024" w:rsidRDefault="001F75D3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5024">
              <w:rPr>
                <w:rFonts w:ascii="Playfair Display" w:hAnsi="Playfair Display"/>
                <w:b/>
                <w:lang w:val="en-US" w:eastAsia="en-US"/>
              </w:rPr>
              <w:t>Credit value: 3</w:t>
            </w:r>
          </w:p>
        </w:tc>
      </w:tr>
      <w:tr w:rsidR="001F75D3" w:rsidRPr="00A95024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75D3" w:rsidRPr="00A95024" w:rsidRDefault="001F75D3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A95024">
              <w:rPr>
                <w:rFonts w:ascii="Playfair Display" w:hAnsi="Playfair Display"/>
                <w:b/>
                <w:lang w:val="en-US" w:eastAsia="en-US"/>
              </w:rPr>
              <w:t>Course</w:t>
            </w:r>
            <w:r w:rsidRPr="00A95024">
              <w:rPr>
                <w:rFonts w:ascii="Playfair Display" w:hAnsi="Playfair Display"/>
                <w:lang w:val="en-US" w:eastAsia="en-US"/>
              </w:rPr>
              <w:t xml:space="preserve"> </w:t>
            </w:r>
            <w:r w:rsidRPr="00A95024">
              <w:rPr>
                <w:rFonts w:ascii="Playfair Display" w:hAnsi="Playfair Display"/>
                <w:b/>
                <w:lang w:val="en-US" w:eastAsia="en-US"/>
              </w:rPr>
              <w:t>classification</w:t>
            </w:r>
            <w:r w:rsidRPr="00A95024">
              <w:rPr>
                <w:rFonts w:ascii="Playfair Display" w:hAnsi="Playfair Display"/>
                <w:lang w:val="en-US" w:eastAsia="en-US"/>
              </w:rPr>
              <w:t xml:space="preserve">: </w:t>
            </w:r>
            <w:r w:rsidRPr="00A95024">
              <w:rPr>
                <w:rFonts w:ascii="Playfair Display" w:hAnsi="Playfair Display" w:cs="Arial"/>
                <w:u w:val="single"/>
                <w:lang w:val="en-GB"/>
              </w:rPr>
              <w:t>compulsory</w:t>
            </w:r>
            <w:r w:rsidRPr="00A95024">
              <w:rPr>
                <w:rFonts w:ascii="Playfair Display" w:hAnsi="Playfair Display" w:cs="Arial"/>
                <w:lang w:val="en-GB"/>
              </w:rPr>
              <w:t xml:space="preserve"> / optional</w:t>
            </w:r>
          </w:p>
        </w:tc>
      </w:tr>
      <w:tr w:rsidR="001F75D3" w:rsidRPr="00A95024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75D3" w:rsidRPr="00A95024" w:rsidRDefault="001F75D3" w:rsidP="000D1F89">
            <w:pPr>
              <w:suppressAutoHyphens/>
              <w:spacing w:before="40" w:after="4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A95024">
              <w:rPr>
                <w:rFonts w:ascii="Playfair Display" w:hAnsi="Playfair Display"/>
                <w:b/>
                <w:lang w:val="en-US" w:eastAsia="en-US"/>
              </w:rPr>
              <w:t xml:space="preserve">The proportion of the practical nature of the course, „educational character”: </w:t>
            </w:r>
            <w:r w:rsidRPr="00A95024">
              <w:rPr>
                <w:rFonts w:ascii="Playfair Display" w:hAnsi="Playfair Display" w:cs="Arial"/>
                <w:b/>
                <w:lang w:val="en-GB"/>
              </w:rPr>
              <w:t xml:space="preserve">50/50 </w:t>
            </w:r>
            <w:r w:rsidRPr="00A95024">
              <w:rPr>
                <w:rFonts w:ascii="Playfair Display" w:hAnsi="Playfair Display" w:cs="Arial"/>
                <w:lang w:val="en-GB"/>
              </w:rPr>
              <w:t>(</w:t>
            </w:r>
            <w:proofErr w:type="gramStart"/>
            <w:r w:rsidRPr="00A95024">
              <w:rPr>
                <w:rFonts w:ascii="Playfair Display" w:hAnsi="Playfair Display" w:cs="Arial"/>
                <w:lang w:val="en-GB"/>
              </w:rPr>
              <w:t>credit%</w:t>
            </w:r>
            <w:proofErr w:type="gramEnd"/>
            <w:r w:rsidRPr="00A95024">
              <w:rPr>
                <w:rFonts w:ascii="Playfair Display" w:hAnsi="Playfair Display" w:cs="Arial"/>
                <w:lang w:val="en-GB"/>
              </w:rPr>
              <w:t>)</w:t>
            </w:r>
          </w:p>
        </w:tc>
      </w:tr>
      <w:tr w:rsidR="001F75D3" w:rsidRPr="00A95024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75D3" w:rsidRPr="00A95024" w:rsidRDefault="001F75D3" w:rsidP="000D1F89">
            <w:pPr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  <w:r w:rsidRPr="00A95024">
              <w:rPr>
                <w:rFonts w:ascii="Playfair Display" w:hAnsi="Playfair Display"/>
                <w:b/>
                <w:lang w:val="en-US" w:eastAsia="en-US"/>
              </w:rPr>
              <w:t xml:space="preserve">Type of course:   </w:t>
            </w:r>
            <w:r w:rsidRPr="00A95024">
              <w:rPr>
                <w:rFonts w:ascii="Playfair Display" w:hAnsi="Playfair Display"/>
                <w:u w:val="single"/>
                <w:lang w:val="en-US" w:eastAsia="en-US"/>
              </w:rPr>
              <w:t>theoretical</w:t>
            </w:r>
            <w:r w:rsidRPr="00A95024">
              <w:rPr>
                <w:rFonts w:ascii="Playfair Display" w:hAnsi="Playfair Display"/>
                <w:lang w:val="en-US" w:eastAsia="en-US"/>
              </w:rPr>
              <w:t xml:space="preserve"> /   </w:t>
            </w:r>
            <w:r w:rsidRPr="00A95024">
              <w:rPr>
                <w:rFonts w:ascii="Playfair Display" w:hAnsi="Playfair Display"/>
                <w:u w:val="single"/>
                <w:lang w:val="en-US" w:eastAsia="en-US"/>
              </w:rPr>
              <w:t>practical</w:t>
            </w:r>
            <w:r w:rsidRPr="00A95024">
              <w:rPr>
                <w:rFonts w:ascii="Playfair Display" w:hAnsi="Playfair Display"/>
                <w:lang w:val="en-US" w:eastAsia="en-US"/>
              </w:rPr>
              <w:t xml:space="preserve">, and the </w:t>
            </w:r>
            <w:r w:rsidRPr="00A95024">
              <w:rPr>
                <w:rFonts w:ascii="Playfair Display" w:hAnsi="Playfair Display"/>
                <w:b/>
                <w:lang w:val="en-US" w:eastAsia="en-US"/>
              </w:rPr>
              <w:t xml:space="preserve">total number: </w:t>
            </w:r>
            <w:proofErr w:type="gramStart"/>
            <w:r w:rsidRPr="00A95024">
              <w:rPr>
                <w:rFonts w:ascii="Playfair Display" w:hAnsi="Playfair Display"/>
                <w:b/>
                <w:lang w:val="en-US" w:eastAsia="en-US"/>
              </w:rPr>
              <w:t>28  hours</w:t>
            </w:r>
            <w:proofErr w:type="gramEnd"/>
            <w:r w:rsidRPr="00A95024">
              <w:rPr>
                <w:rFonts w:ascii="Playfair Display" w:hAnsi="Playfair Display"/>
                <w:lang w:val="en-US" w:eastAsia="en-US"/>
              </w:rPr>
              <w:t xml:space="preserve"> in the given </w:t>
            </w:r>
            <w:r w:rsidRPr="00A95024">
              <w:rPr>
                <w:rFonts w:ascii="Playfair Display" w:hAnsi="Playfair Display"/>
                <w:b/>
                <w:lang w:val="en-US" w:eastAsia="en-US"/>
              </w:rPr>
              <w:t>semester.</w:t>
            </w:r>
          </w:p>
          <w:p w:rsidR="001F75D3" w:rsidRPr="00A95024" w:rsidRDefault="001F75D3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5024">
              <w:rPr>
                <w:rFonts w:ascii="Playfair Display" w:hAnsi="Playfair Display"/>
                <w:lang w:val="en-US" w:eastAsia="en-US"/>
              </w:rPr>
              <w:t xml:space="preserve">Further (unique) means and properties of knowledge transfer: </w:t>
            </w:r>
          </w:p>
        </w:tc>
      </w:tr>
      <w:tr w:rsidR="001F75D3" w:rsidRPr="00A95024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75D3" w:rsidRPr="00A95024" w:rsidRDefault="001F75D3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A95024">
              <w:rPr>
                <w:rFonts w:ascii="Playfair Display" w:hAnsi="Playfair Display"/>
                <w:b/>
                <w:lang w:val="en-US" w:eastAsia="en-US"/>
              </w:rPr>
              <w:t>Exam</w:t>
            </w:r>
            <w:r w:rsidRPr="00A95024">
              <w:rPr>
                <w:rFonts w:ascii="Playfair Display" w:hAnsi="Playfair Display"/>
                <w:lang w:val="en-US" w:eastAsia="en-US"/>
              </w:rPr>
              <w:t xml:space="preserve"> type (colloquium / practical grade / </w:t>
            </w:r>
            <w:r w:rsidRPr="00A95024">
              <w:rPr>
                <w:rFonts w:ascii="Playfair Display" w:hAnsi="Playfair Display"/>
                <w:b/>
                <w:lang w:val="en-US" w:eastAsia="en-US"/>
              </w:rPr>
              <w:t xml:space="preserve">other </w:t>
            </w:r>
            <w:r w:rsidRPr="00A95024">
              <w:rPr>
                <w:rFonts w:ascii="Playfair Display" w:hAnsi="Playfair Display"/>
                <w:lang w:val="en-US" w:eastAsia="en-US"/>
              </w:rPr>
              <w:t xml:space="preserve">): </w:t>
            </w:r>
            <w:r w:rsidRPr="00A95024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r w:rsidRPr="00A95024">
              <w:rPr>
                <w:rFonts w:ascii="Playfair Display" w:hAnsi="Playfair Display" w:cs="Arial"/>
                <w:u w:val="single"/>
                <w:lang w:val="en-GB"/>
              </w:rPr>
              <w:t>exam</w:t>
            </w:r>
            <w:r w:rsidRPr="00A95024">
              <w:rPr>
                <w:rFonts w:ascii="Playfair Display" w:hAnsi="Playfair Display" w:cs="Arial"/>
                <w:lang w:val="en-GB"/>
              </w:rPr>
              <w:t xml:space="preserve"> / practical course mark</w:t>
            </w:r>
          </w:p>
          <w:p w:rsidR="001F75D3" w:rsidRPr="00A95024" w:rsidRDefault="001F75D3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5024">
              <w:rPr>
                <w:rFonts w:ascii="Playfair Display" w:hAnsi="Playfair Display"/>
                <w:lang w:val="en-US" w:eastAsia="en-US"/>
              </w:rPr>
              <w:t>Further (unique) means of knowledge verification</w:t>
            </w:r>
            <w:r w:rsidRPr="00A95024">
              <w:rPr>
                <w:rFonts w:ascii="Playfair Display" w:hAnsi="Playfair Display"/>
                <w:b/>
                <w:color w:val="333399"/>
                <w:lang w:val="en-US" w:eastAsia="en-US"/>
              </w:rPr>
              <w:t xml:space="preserve">: </w:t>
            </w:r>
            <w:r w:rsidRPr="00A95024">
              <w:rPr>
                <w:rFonts w:ascii="Playfair Display" w:hAnsi="Playfair Display"/>
                <w:b/>
                <w:lang w:val="en-US" w:eastAsia="en-US"/>
              </w:rPr>
              <w:t xml:space="preserve"> essay submission</w:t>
            </w:r>
          </w:p>
        </w:tc>
      </w:tr>
      <w:tr w:rsidR="001F75D3" w:rsidRPr="00A95024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75D3" w:rsidRPr="00A95024" w:rsidRDefault="001F75D3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A95024">
              <w:rPr>
                <w:rFonts w:ascii="Playfair Display" w:hAnsi="Playfair Display"/>
                <w:lang w:val="en-US" w:eastAsia="en-US"/>
              </w:rPr>
              <w:t xml:space="preserve">The curricular </w:t>
            </w:r>
            <w:r w:rsidRPr="00A95024">
              <w:rPr>
                <w:rFonts w:ascii="Playfair Display" w:hAnsi="Playfair Display"/>
                <w:b/>
                <w:lang w:val="en-US" w:eastAsia="en-US"/>
              </w:rPr>
              <w:t>place of the course</w:t>
            </w:r>
            <w:r w:rsidRPr="00A95024">
              <w:rPr>
                <w:rFonts w:ascii="Playfair Display" w:hAnsi="Playfair Display"/>
                <w:lang w:val="en-US" w:eastAsia="en-US"/>
              </w:rPr>
              <w:t xml:space="preserve"> (which semester): semester 4</w:t>
            </w:r>
          </w:p>
        </w:tc>
      </w:tr>
      <w:tr w:rsidR="001F75D3" w:rsidRPr="00A95024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75D3" w:rsidRPr="00A95024" w:rsidRDefault="001F75D3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A95024">
              <w:rPr>
                <w:rFonts w:ascii="Playfair Display" w:hAnsi="Playfair Display"/>
                <w:lang w:val="en-US" w:eastAsia="en-US"/>
              </w:rPr>
              <w:t xml:space="preserve">Prerequisites (if any): </w:t>
            </w:r>
            <w:r w:rsidRPr="00A95024">
              <w:rPr>
                <w:rFonts w:ascii="Playfair Display" w:hAnsi="Playfair Display"/>
                <w:b/>
                <w:lang w:val="en-US" w:eastAsia="en-US"/>
              </w:rPr>
              <w:t xml:space="preserve">-                   </w:t>
            </w:r>
          </w:p>
        </w:tc>
      </w:tr>
    </w:tbl>
    <w:p w:rsidR="001F75D3" w:rsidRPr="00A95024" w:rsidRDefault="001F75D3" w:rsidP="001F75D3">
      <w:pPr>
        <w:suppressAutoHyphens/>
        <w:rPr>
          <w:rFonts w:ascii="Playfair Display" w:hAnsi="Playfair Display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F75D3" w:rsidRPr="00A95024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75D3" w:rsidRPr="00A95024" w:rsidRDefault="001F75D3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5024">
              <w:rPr>
                <w:rFonts w:ascii="Playfair Display" w:hAnsi="Playfair Display"/>
                <w:b/>
                <w:lang w:val="en-US" w:eastAsia="en-US"/>
              </w:rPr>
              <w:t xml:space="preserve">Course description: a brief, but informative description of the knowledge to </w:t>
            </w:r>
            <w:proofErr w:type="gramStart"/>
            <w:r w:rsidRPr="00A95024">
              <w:rPr>
                <w:rFonts w:ascii="Playfair Display" w:hAnsi="Playfair Display"/>
                <w:b/>
                <w:lang w:val="en-US" w:eastAsia="en-US"/>
              </w:rPr>
              <w:t>be acquired</w:t>
            </w:r>
            <w:proofErr w:type="gramEnd"/>
            <w:r w:rsidRPr="00A95024">
              <w:rPr>
                <w:rFonts w:ascii="Playfair Display" w:hAnsi="Playfair Display"/>
                <w:b/>
                <w:lang w:val="en-US" w:eastAsia="en-US"/>
              </w:rPr>
              <w:t xml:space="preserve"> (14 weeks).</w:t>
            </w:r>
          </w:p>
        </w:tc>
      </w:tr>
      <w:tr w:rsidR="001F75D3" w:rsidRPr="00A95024" w:rsidTr="000D1F89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75D3" w:rsidRPr="00A95024" w:rsidRDefault="001F75D3" w:rsidP="000D1F89">
            <w:pPr>
              <w:rPr>
                <w:rFonts w:ascii="Playfair Display" w:hAnsi="Playfair Display" w:cs="Arial"/>
                <w:lang w:val="en-GB"/>
              </w:rPr>
            </w:pPr>
            <w:r w:rsidRPr="00A95024">
              <w:rPr>
                <w:rFonts w:ascii="Playfair Display" w:hAnsi="Playfair Display"/>
                <w:lang w:val="en-GB"/>
              </w:rPr>
              <w:t>The lectures focus on the most topical issues of environmental, food and agricultural law (including non-binding documents) at universal and EU level. They cover both the current activities and the most relevant pieces of legislation of the selected environment, food and agriculture-related organisations.</w:t>
            </w:r>
          </w:p>
          <w:p w:rsidR="001F75D3" w:rsidRPr="00A95024" w:rsidRDefault="001F75D3" w:rsidP="001F75D3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Playfair Display" w:hAnsi="Playfair Display"/>
                <w:lang w:val="en-GB"/>
              </w:rPr>
            </w:pPr>
            <w:r w:rsidRPr="00A95024">
              <w:rPr>
                <w:rFonts w:ascii="Playfair Display" w:hAnsi="Playfair Display"/>
                <w:lang w:val="en-GB"/>
              </w:rPr>
              <w:t>Introduction to law, and the history of the European integration</w:t>
            </w:r>
          </w:p>
          <w:p w:rsidR="001F75D3" w:rsidRPr="00A95024" w:rsidRDefault="001F75D3" w:rsidP="001F75D3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Playfair Display" w:hAnsi="Playfair Display"/>
                <w:lang w:val="en-GB"/>
              </w:rPr>
            </w:pPr>
            <w:r w:rsidRPr="00A95024">
              <w:rPr>
                <w:rFonts w:ascii="Playfair Display" w:hAnsi="Playfair Display"/>
                <w:lang w:val="en-GB"/>
              </w:rPr>
              <w:t>General Comment No. 12 on right to food and General Comment No. 15 on right to water</w:t>
            </w:r>
          </w:p>
          <w:p w:rsidR="001F75D3" w:rsidRPr="00A95024" w:rsidRDefault="001F75D3" w:rsidP="001F75D3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Playfair Display" w:hAnsi="Playfair Display"/>
                <w:lang w:val="en-GB"/>
              </w:rPr>
            </w:pPr>
            <w:r w:rsidRPr="00A95024">
              <w:rPr>
                <w:rFonts w:ascii="Playfair Display" w:hAnsi="Playfair Display"/>
                <w:lang w:val="en-GB"/>
              </w:rPr>
              <w:t>The European Council and the Council of the European Union, with special regards to AGRIFISH and ENVI Council configurations</w:t>
            </w:r>
          </w:p>
          <w:p w:rsidR="001F75D3" w:rsidRPr="00A95024" w:rsidRDefault="001F75D3" w:rsidP="001F75D3">
            <w:pPr>
              <w:numPr>
                <w:ilvl w:val="0"/>
                <w:numId w:val="23"/>
              </w:numPr>
              <w:contextualSpacing/>
              <w:rPr>
                <w:rFonts w:ascii="Playfair Display" w:hAnsi="Playfair Display"/>
                <w:lang w:val="en-GB"/>
              </w:rPr>
            </w:pPr>
            <w:r w:rsidRPr="00A95024">
              <w:rPr>
                <w:rFonts w:ascii="Playfair Display" w:hAnsi="Playfair Display"/>
                <w:lang w:val="en-GB"/>
              </w:rPr>
              <w:t>The European Commission, with special emphasis on DG AGRI, DG ENVI and DG JRC</w:t>
            </w:r>
          </w:p>
          <w:p w:rsidR="001F75D3" w:rsidRPr="00A95024" w:rsidRDefault="001F75D3" w:rsidP="001F75D3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autoSpaceDE w:val="0"/>
              <w:autoSpaceDN w:val="0"/>
              <w:jc w:val="both"/>
              <w:rPr>
                <w:rFonts w:ascii="Playfair Display" w:hAnsi="Playfair Display"/>
                <w:lang w:val="en-GB"/>
              </w:rPr>
            </w:pPr>
            <w:r w:rsidRPr="00A95024">
              <w:rPr>
                <w:rFonts w:ascii="Playfair Display" w:hAnsi="Playfair Display"/>
                <w:lang w:val="en-GB"/>
              </w:rPr>
              <w:t>The European Parliament, and the Court of Justice of the European Union</w:t>
            </w:r>
          </w:p>
          <w:p w:rsidR="001F75D3" w:rsidRPr="00A95024" w:rsidRDefault="001F75D3" w:rsidP="001F75D3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autoSpaceDE w:val="0"/>
              <w:autoSpaceDN w:val="0"/>
              <w:jc w:val="both"/>
              <w:rPr>
                <w:rFonts w:ascii="Playfair Display" w:hAnsi="Playfair Display"/>
                <w:lang w:val="en-GB"/>
              </w:rPr>
            </w:pPr>
            <w:r w:rsidRPr="00A95024">
              <w:rPr>
                <w:rFonts w:ascii="Playfair Display" w:hAnsi="Playfair Display"/>
                <w:lang w:val="en-GB"/>
              </w:rPr>
              <w:t>Farm to Fork Strategy (</w:t>
            </w:r>
            <w:proofErr w:type="spellStart"/>
            <w:r w:rsidRPr="00A95024">
              <w:rPr>
                <w:rFonts w:ascii="Playfair Display" w:hAnsi="Playfair Display"/>
              </w:rPr>
              <w:t>For</w:t>
            </w:r>
            <w:proofErr w:type="spellEnd"/>
            <w:r w:rsidRPr="00A95024">
              <w:rPr>
                <w:rFonts w:ascii="Playfair Display" w:hAnsi="Playfair Display"/>
              </w:rPr>
              <w:t xml:space="preserve"> a fair, </w:t>
            </w:r>
            <w:proofErr w:type="spellStart"/>
            <w:r w:rsidRPr="00A95024">
              <w:rPr>
                <w:rFonts w:ascii="Playfair Display" w:hAnsi="Playfair Display"/>
              </w:rPr>
              <w:t>healthy</w:t>
            </w:r>
            <w:proofErr w:type="spellEnd"/>
            <w:r w:rsidRPr="00A95024">
              <w:rPr>
                <w:rFonts w:ascii="Playfair Display" w:hAnsi="Playfair Display"/>
              </w:rPr>
              <w:t xml:space="preserve"> and </w:t>
            </w:r>
            <w:proofErr w:type="spellStart"/>
            <w:r w:rsidRPr="00A95024">
              <w:rPr>
                <w:rFonts w:ascii="Playfair Display" w:hAnsi="Playfair Display"/>
              </w:rPr>
              <w:t>environmentally-friendly</w:t>
            </w:r>
            <w:proofErr w:type="spellEnd"/>
            <w:r w:rsidRPr="00A95024">
              <w:rPr>
                <w:rFonts w:ascii="Playfair Display" w:hAnsi="Playfair Display"/>
              </w:rPr>
              <w:t xml:space="preserve"> </w:t>
            </w:r>
            <w:proofErr w:type="spellStart"/>
            <w:r w:rsidRPr="00A95024">
              <w:rPr>
                <w:rFonts w:ascii="Playfair Display" w:hAnsi="Playfair Display"/>
              </w:rPr>
              <w:t>food</w:t>
            </w:r>
            <w:proofErr w:type="spellEnd"/>
            <w:r w:rsidRPr="00A95024">
              <w:rPr>
                <w:rFonts w:ascii="Playfair Display" w:hAnsi="Playfair Display"/>
              </w:rPr>
              <w:t xml:space="preserve"> </w:t>
            </w:r>
            <w:proofErr w:type="spellStart"/>
            <w:r w:rsidRPr="00A95024">
              <w:rPr>
                <w:rFonts w:ascii="Playfair Display" w:hAnsi="Playfair Display"/>
              </w:rPr>
              <w:t>system</w:t>
            </w:r>
            <w:proofErr w:type="spellEnd"/>
            <w:r w:rsidRPr="00A95024">
              <w:rPr>
                <w:rFonts w:ascii="Playfair Display" w:hAnsi="Playfair Display"/>
                <w:lang w:val="en-GB"/>
              </w:rPr>
              <w:t>)</w:t>
            </w:r>
          </w:p>
          <w:p w:rsidR="001F75D3" w:rsidRPr="00A95024" w:rsidRDefault="001F75D3" w:rsidP="001F75D3">
            <w:pPr>
              <w:numPr>
                <w:ilvl w:val="0"/>
                <w:numId w:val="23"/>
              </w:numPr>
              <w:contextualSpacing/>
              <w:rPr>
                <w:rFonts w:ascii="Playfair Display" w:hAnsi="Playfair Display"/>
                <w:lang w:val="en-GB"/>
              </w:rPr>
            </w:pPr>
            <w:r w:rsidRPr="00A95024">
              <w:rPr>
                <w:rFonts w:ascii="Playfair Display" w:hAnsi="Playfair Display"/>
                <w:lang w:val="en-GB"/>
              </w:rPr>
              <w:t>The European Food Safety Authority and the Regulation (EC) No 178/2002 on general principles and requirements of food law</w:t>
            </w:r>
          </w:p>
          <w:p w:rsidR="001F75D3" w:rsidRPr="00A95024" w:rsidRDefault="001F75D3" w:rsidP="001F75D3">
            <w:pPr>
              <w:numPr>
                <w:ilvl w:val="0"/>
                <w:numId w:val="23"/>
              </w:numPr>
              <w:contextualSpacing/>
              <w:rPr>
                <w:rFonts w:ascii="Playfair Display" w:hAnsi="Playfair Display"/>
                <w:lang w:val="en-GB"/>
              </w:rPr>
            </w:pPr>
            <w:r w:rsidRPr="00A95024">
              <w:rPr>
                <w:rFonts w:ascii="Playfair Display" w:hAnsi="Playfair Display"/>
                <w:lang w:val="en-GB"/>
              </w:rPr>
              <w:t>Community Plant Variety Office (CPVO)</w:t>
            </w:r>
          </w:p>
          <w:p w:rsidR="001F75D3" w:rsidRPr="00A95024" w:rsidRDefault="001F75D3" w:rsidP="001F75D3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Playfair Display" w:hAnsi="Playfair Display"/>
                <w:lang w:val="en-GB"/>
              </w:rPr>
            </w:pPr>
            <w:proofErr w:type="spellStart"/>
            <w:r w:rsidRPr="00A95024">
              <w:rPr>
                <w:rFonts w:ascii="Playfair Display" w:hAnsi="Playfair Display"/>
              </w:rPr>
              <w:t>Regulation</w:t>
            </w:r>
            <w:proofErr w:type="spellEnd"/>
            <w:r w:rsidRPr="00A95024">
              <w:rPr>
                <w:rFonts w:ascii="Playfair Display" w:hAnsi="Playfair Display"/>
              </w:rPr>
              <w:t xml:space="preserve"> (EC) </w:t>
            </w:r>
            <w:proofErr w:type="gramStart"/>
            <w:r w:rsidRPr="00A95024">
              <w:rPr>
                <w:rFonts w:ascii="Playfair Display" w:hAnsi="Playfair Display"/>
              </w:rPr>
              <w:t>No</w:t>
            </w:r>
            <w:proofErr w:type="gramEnd"/>
            <w:r w:rsidRPr="00A95024">
              <w:rPr>
                <w:rFonts w:ascii="Playfair Display" w:hAnsi="Playfair Display"/>
              </w:rPr>
              <w:t xml:space="preserve"> 1107/2009 </w:t>
            </w:r>
            <w:proofErr w:type="spellStart"/>
            <w:r w:rsidRPr="00A95024">
              <w:rPr>
                <w:rFonts w:ascii="Playfair Display" w:hAnsi="Playfair Display"/>
              </w:rPr>
              <w:t>concerning</w:t>
            </w:r>
            <w:proofErr w:type="spellEnd"/>
            <w:r w:rsidRPr="00A95024">
              <w:rPr>
                <w:rFonts w:ascii="Playfair Display" w:hAnsi="Playfair Display"/>
              </w:rPr>
              <w:t xml:space="preserve"> </w:t>
            </w:r>
            <w:proofErr w:type="spellStart"/>
            <w:r w:rsidRPr="00A95024">
              <w:rPr>
                <w:rFonts w:ascii="Playfair Display" w:hAnsi="Playfair Display"/>
              </w:rPr>
              <w:t>the</w:t>
            </w:r>
            <w:proofErr w:type="spellEnd"/>
            <w:r w:rsidRPr="00A95024">
              <w:rPr>
                <w:rFonts w:ascii="Playfair Display" w:hAnsi="Playfair Display"/>
              </w:rPr>
              <w:t xml:space="preserve"> </w:t>
            </w:r>
            <w:proofErr w:type="spellStart"/>
            <w:r w:rsidRPr="00A95024">
              <w:rPr>
                <w:rFonts w:ascii="Playfair Display" w:hAnsi="Playfair Display"/>
              </w:rPr>
              <w:t>placing</w:t>
            </w:r>
            <w:proofErr w:type="spellEnd"/>
            <w:r w:rsidRPr="00A95024">
              <w:rPr>
                <w:rFonts w:ascii="Playfair Display" w:hAnsi="Playfair Display"/>
              </w:rPr>
              <w:t xml:space="preserve"> of </w:t>
            </w:r>
            <w:proofErr w:type="spellStart"/>
            <w:r w:rsidRPr="00A95024">
              <w:rPr>
                <w:rFonts w:ascii="Playfair Display" w:hAnsi="Playfair Display"/>
              </w:rPr>
              <w:t>plant</w:t>
            </w:r>
            <w:proofErr w:type="spellEnd"/>
            <w:r w:rsidRPr="00A95024">
              <w:rPr>
                <w:rFonts w:ascii="Playfair Display" w:hAnsi="Playfair Display"/>
              </w:rPr>
              <w:t xml:space="preserve"> </w:t>
            </w:r>
            <w:proofErr w:type="spellStart"/>
            <w:r w:rsidRPr="00A95024">
              <w:rPr>
                <w:rFonts w:ascii="Playfair Display" w:hAnsi="Playfair Display"/>
              </w:rPr>
              <w:t>protection</w:t>
            </w:r>
            <w:proofErr w:type="spellEnd"/>
            <w:r w:rsidRPr="00A95024">
              <w:rPr>
                <w:rFonts w:ascii="Playfair Display" w:hAnsi="Playfair Display"/>
              </w:rPr>
              <w:t xml:space="preserve"> </w:t>
            </w:r>
            <w:proofErr w:type="spellStart"/>
            <w:r w:rsidRPr="00A95024">
              <w:rPr>
                <w:rFonts w:ascii="Playfair Display" w:hAnsi="Playfair Display"/>
              </w:rPr>
              <w:t>products</w:t>
            </w:r>
            <w:proofErr w:type="spellEnd"/>
            <w:r w:rsidRPr="00A95024">
              <w:rPr>
                <w:rFonts w:ascii="Playfair Display" w:hAnsi="Playfair Display"/>
              </w:rPr>
              <w:t xml:space="preserve"> </w:t>
            </w:r>
            <w:proofErr w:type="spellStart"/>
            <w:r w:rsidRPr="00A95024">
              <w:rPr>
                <w:rFonts w:ascii="Playfair Display" w:hAnsi="Playfair Display"/>
              </w:rPr>
              <w:t>on</w:t>
            </w:r>
            <w:proofErr w:type="spellEnd"/>
            <w:r w:rsidRPr="00A95024">
              <w:rPr>
                <w:rFonts w:ascii="Playfair Display" w:hAnsi="Playfair Display"/>
              </w:rPr>
              <w:t xml:space="preserve"> </w:t>
            </w:r>
            <w:proofErr w:type="spellStart"/>
            <w:r w:rsidRPr="00A95024">
              <w:rPr>
                <w:rFonts w:ascii="Playfair Display" w:hAnsi="Playfair Display"/>
              </w:rPr>
              <w:t>the</w:t>
            </w:r>
            <w:proofErr w:type="spellEnd"/>
            <w:r w:rsidRPr="00A95024">
              <w:rPr>
                <w:rFonts w:ascii="Playfair Display" w:hAnsi="Playfair Display"/>
              </w:rPr>
              <w:t xml:space="preserve"> market I.</w:t>
            </w:r>
          </w:p>
          <w:p w:rsidR="001F75D3" w:rsidRPr="00A95024" w:rsidRDefault="001F75D3" w:rsidP="001F75D3">
            <w:pPr>
              <w:numPr>
                <w:ilvl w:val="0"/>
                <w:numId w:val="23"/>
              </w:numPr>
              <w:spacing w:line="276" w:lineRule="auto"/>
              <w:ind w:left="879" w:hanging="519"/>
              <w:contextualSpacing/>
              <w:jc w:val="both"/>
              <w:rPr>
                <w:rFonts w:ascii="Playfair Display" w:hAnsi="Playfair Display"/>
                <w:lang w:val="en-GB"/>
              </w:rPr>
            </w:pPr>
            <w:proofErr w:type="spellStart"/>
            <w:r w:rsidRPr="00A95024">
              <w:rPr>
                <w:rFonts w:ascii="Playfair Display" w:hAnsi="Playfair Display"/>
              </w:rPr>
              <w:t>Regulation</w:t>
            </w:r>
            <w:proofErr w:type="spellEnd"/>
            <w:r w:rsidRPr="00A95024">
              <w:rPr>
                <w:rFonts w:ascii="Playfair Display" w:hAnsi="Playfair Display"/>
              </w:rPr>
              <w:t xml:space="preserve"> (EC) </w:t>
            </w:r>
            <w:proofErr w:type="gramStart"/>
            <w:r w:rsidRPr="00A95024">
              <w:rPr>
                <w:rFonts w:ascii="Playfair Display" w:hAnsi="Playfair Display"/>
              </w:rPr>
              <w:t>No</w:t>
            </w:r>
            <w:proofErr w:type="gramEnd"/>
            <w:r w:rsidRPr="00A95024">
              <w:rPr>
                <w:rFonts w:ascii="Playfair Display" w:hAnsi="Playfair Display"/>
              </w:rPr>
              <w:t xml:space="preserve"> 1107/2009 </w:t>
            </w:r>
            <w:proofErr w:type="spellStart"/>
            <w:r w:rsidRPr="00A95024">
              <w:rPr>
                <w:rFonts w:ascii="Playfair Display" w:hAnsi="Playfair Display"/>
              </w:rPr>
              <w:t>concerning</w:t>
            </w:r>
            <w:proofErr w:type="spellEnd"/>
            <w:r w:rsidRPr="00A95024">
              <w:rPr>
                <w:rFonts w:ascii="Playfair Display" w:hAnsi="Playfair Display"/>
              </w:rPr>
              <w:t xml:space="preserve"> </w:t>
            </w:r>
            <w:proofErr w:type="spellStart"/>
            <w:r w:rsidRPr="00A95024">
              <w:rPr>
                <w:rFonts w:ascii="Playfair Display" w:hAnsi="Playfair Display"/>
              </w:rPr>
              <w:t>the</w:t>
            </w:r>
            <w:proofErr w:type="spellEnd"/>
            <w:r w:rsidRPr="00A95024">
              <w:rPr>
                <w:rFonts w:ascii="Playfair Display" w:hAnsi="Playfair Display"/>
              </w:rPr>
              <w:t xml:space="preserve"> </w:t>
            </w:r>
            <w:proofErr w:type="spellStart"/>
            <w:r w:rsidRPr="00A95024">
              <w:rPr>
                <w:rFonts w:ascii="Playfair Display" w:hAnsi="Playfair Display"/>
              </w:rPr>
              <w:t>placing</w:t>
            </w:r>
            <w:proofErr w:type="spellEnd"/>
            <w:r w:rsidRPr="00A95024">
              <w:rPr>
                <w:rFonts w:ascii="Playfair Display" w:hAnsi="Playfair Display"/>
              </w:rPr>
              <w:t xml:space="preserve"> of </w:t>
            </w:r>
            <w:proofErr w:type="spellStart"/>
            <w:r w:rsidRPr="00A95024">
              <w:rPr>
                <w:rFonts w:ascii="Playfair Display" w:hAnsi="Playfair Display"/>
              </w:rPr>
              <w:t>plant</w:t>
            </w:r>
            <w:proofErr w:type="spellEnd"/>
            <w:r w:rsidRPr="00A95024">
              <w:rPr>
                <w:rFonts w:ascii="Playfair Display" w:hAnsi="Playfair Display"/>
              </w:rPr>
              <w:t xml:space="preserve"> </w:t>
            </w:r>
            <w:proofErr w:type="spellStart"/>
            <w:r w:rsidRPr="00A95024">
              <w:rPr>
                <w:rFonts w:ascii="Playfair Display" w:hAnsi="Playfair Display"/>
              </w:rPr>
              <w:t>protection</w:t>
            </w:r>
            <w:proofErr w:type="spellEnd"/>
            <w:r w:rsidRPr="00A95024">
              <w:rPr>
                <w:rFonts w:ascii="Playfair Display" w:hAnsi="Playfair Display"/>
              </w:rPr>
              <w:t xml:space="preserve"> </w:t>
            </w:r>
            <w:proofErr w:type="spellStart"/>
            <w:r w:rsidRPr="00A95024">
              <w:rPr>
                <w:rFonts w:ascii="Playfair Display" w:hAnsi="Playfair Display"/>
              </w:rPr>
              <w:t>products</w:t>
            </w:r>
            <w:proofErr w:type="spellEnd"/>
            <w:r w:rsidRPr="00A95024">
              <w:rPr>
                <w:rFonts w:ascii="Playfair Display" w:hAnsi="Playfair Display"/>
              </w:rPr>
              <w:t xml:space="preserve"> </w:t>
            </w:r>
            <w:proofErr w:type="spellStart"/>
            <w:r w:rsidRPr="00A95024">
              <w:rPr>
                <w:rFonts w:ascii="Playfair Display" w:hAnsi="Playfair Display"/>
              </w:rPr>
              <w:t>on</w:t>
            </w:r>
            <w:proofErr w:type="spellEnd"/>
            <w:r w:rsidRPr="00A95024">
              <w:rPr>
                <w:rFonts w:ascii="Playfair Display" w:hAnsi="Playfair Display"/>
              </w:rPr>
              <w:t xml:space="preserve"> </w:t>
            </w:r>
            <w:proofErr w:type="spellStart"/>
            <w:r w:rsidRPr="00A95024">
              <w:rPr>
                <w:rFonts w:ascii="Playfair Display" w:hAnsi="Playfair Display"/>
              </w:rPr>
              <w:t>the</w:t>
            </w:r>
            <w:proofErr w:type="spellEnd"/>
            <w:r w:rsidRPr="00A95024">
              <w:rPr>
                <w:rFonts w:ascii="Playfair Display" w:hAnsi="Playfair Display"/>
              </w:rPr>
              <w:t xml:space="preserve"> market II.</w:t>
            </w:r>
          </w:p>
          <w:p w:rsidR="001F75D3" w:rsidRPr="00A95024" w:rsidRDefault="001F75D3" w:rsidP="001F75D3">
            <w:pPr>
              <w:numPr>
                <w:ilvl w:val="0"/>
                <w:numId w:val="23"/>
              </w:numPr>
              <w:ind w:left="879" w:hanging="519"/>
              <w:contextualSpacing/>
              <w:rPr>
                <w:rFonts w:ascii="Playfair Display" w:hAnsi="Playfair Display"/>
                <w:lang w:val="en-GB"/>
              </w:rPr>
            </w:pPr>
            <w:r w:rsidRPr="00A95024">
              <w:rPr>
                <w:rFonts w:ascii="Playfair Display" w:hAnsi="Playfair Display"/>
                <w:lang w:val="en-GB"/>
              </w:rPr>
              <w:t>The EU’s Common Agricultural Policy (CAP)</w:t>
            </w:r>
          </w:p>
          <w:p w:rsidR="001F75D3" w:rsidRPr="00A95024" w:rsidRDefault="001F75D3" w:rsidP="001F75D3">
            <w:pPr>
              <w:numPr>
                <w:ilvl w:val="0"/>
                <w:numId w:val="23"/>
              </w:numPr>
              <w:ind w:left="879" w:hanging="519"/>
              <w:contextualSpacing/>
              <w:rPr>
                <w:rFonts w:ascii="Playfair Display" w:hAnsi="Playfair Display"/>
                <w:lang w:val="en-GB"/>
              </w:rPr>
            </w:pPr>
            <w:r w:rsidRPr="00A95024">
              <w:rPr>
                <w:rFonts w:ascii="Playfair Display" w:hAnsi="Playfair Display"/>
                <w:lang w:val="en-GB"/>
              </w:rPr>
              <w:t>The organic farming in the EU and the EU organic logo</w:t>
            </w:r>
          </w:p>
          <w:p w:rsidR="001F75D3" w:rsidRPr="00A95024" w:rsidRDefault="001F75D3" w:rsidP="001F75D3">
            <w:pPr>
              <w:numPr>
                <w:ilvl w:val="0"/>
                <w:numId w:val="23"/>
              </w:numPr>
              <w:ind w:left="879" w:hanging="519"/>
              <w:contextualSpacing/>
              <w:rPr>
                <w:rFonts w:ascii="Playfair Display" w:hAnsi="Playfair Display"/>
                <w:lang w:val="en-GB"/>
              </w:rPr>
            </w:pPr>
            <w:r w:rsidRPr="00A95024">
              <w:rPr>
                <w:rFonts w:ascii="Playfair Display" w:hAnsi="Playfair Display"/>
                <w:lang w:val="en-GB"/>
              </w:rPr>
              <w:t>The Food and Agriculture Organisation (FAO)</w:t>
            </w:r>
          </w:p>
          <w:p w:rsidR="001F75D3" w:rsidRPr="00A95024" w:rsidRDefault="001F75D3" w:rsidP="001F75D3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autoSpaceDE w:val="0"/>
              <w:autoSpaceDN w:val="0"/>
              <w:ind w:left="879" w:hanging="519"/>
              <w:jc w:val="both"/>
              <w:rPr>
                <w:rFonts w:ascii="Playfair Display" w:hAnsi="Playfair Display"/>
                <w:lang w:val="en-GB"/>
              </w:rPr>
            </w:pPr>
            <w:r w:rsidRPr="00A95024">
              <w:rPr>
                <w:rFonts w:ascii="Playfair Display" w:hAnsi="Playfair Display"/>
                <w:lang w:val="en-GB"/>
              </w:rPr>
              <w:t>The European Environment Agency (EEA)</w:t>
            </w:r>
          </w:p>
          <w:p w:rsidR="001F75D3" w:rsidRPr="00A95024" w:rsidRDefault="001F75D3" w:rsidP="000D1F89">
            <w:pPr>
              <w:suppressAutoHyphens/>
              <w:spacing w:line="254" w:lineRule="auto"/>
              <w:rPr>
                <w:rFonts w:ascii="Playfair Display" w:hAnsi="Playfair Display"/>
                <w:lang w:val="en-US" w:eastAsia="en-US"/>
              </w:rPr>
            </w:pPr>
          </w:p>
        </w:tc>
      </w:tr>
      <w:tr w:rsidR="001F75D3" w:rsidRPr="00A95024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F75D3" w:rsidRPr="00A95024" w:rsidRDefault="001F75D3" w:rsidP="000D1F89">
            <w:pPr>
              <w:suppressAutoHyphens/>
              <w:spacing w:line="254" w:lineRule="auto"/>
              <w:ind w:right="-108"/>
              <w:rPr>
                <w:rFonts w:ascii="Playfair Display" w:hAnsi="Playfair Display"/>
                <w:b/>
                <w:lang w:val="en-US" w:eastAsia="en-US"/>
              </w:rPr>
            </w:pPr>
            <w:r w:rsidRPr="00A95024">
              <w:rPr>
                <w:rFonts w:ascii="Playfair Display" w:hAnsi="Playfair Display"/>
                <w:b/>
                <w:lang w:val="en-US" w:eastAsia="en-US"/>
              </w:rPr>
              <w:t>Required and recommended reading:</w:t>
            </w:r>
          </w:p>
        </w:tc>
      </w:tr>
      <w:tr w:rsidR="001F75D3" w:rsidRPr="00A95024" w:rsidTr="000D1F89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F75D3" w:rsidRPr="00A95024" w:rsidRDefault="001F75D3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A95024">
              <w:rPr>
                <w:rFonts w:ascii="Playfair Display" w:hAnsi="Playfair Display"/>
                <w:b/>
                <w:lang w:val="en-US" w:eastAsia="en-US"/>
              </w:rPr>
              <w:t>Required reading:</w:t>
            </w:r>
          </w:p>
          <w:p w:rsidR="001F75D3" w:rsidRPr="00A95024" w:rsidRDefault="001F75D3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A95024">
              <w:rPr>
                <w:rFonts w:ascii="Playfair Display" w:hAnsi="Playfair Display"/>
                <w:lang w:val="en-US" w:eastAsia="en-US"/>
              </w:rPr>
              <w:t xml:space="preserve">1. David </w:t>
            </w:r>
            <w:proofErr w:type="spellStart"/>
            <w:r w:rsidRPr="00A95024">
              <w:rPr>
                <w:rFonts w:ascii="Playfair Display" w:hAnsi="Playfair Display"/>
                <w:lang w:val="en-US" w:eastAsia="en-US"/>
              </w:rPr>
              <w:t>Langlet</w:t>
            </w:r>
            <w:proofErr w:type="spellEnd"/>
            <w:r w:rsidRPr="00A95024">
              <w:rPr>
                <w:rFonts w:ascii="Playfair Display" w:hAnsi="Playfair Display"/>
                <w:lang w:val="en-US" w:eastAsia="en-US"/>
              </w:rPr>
              <w:t xml:space="preserve">, </w:t>
            </w:r>
            <w:r w:rsidRPr="00A95024">
              <w:rPr>
                <w:rFonts w:ascii="Playfair Display" w:hAnsi="Playfair Display"/>
                <w:i/>
                <w:lang w:val="en-US" w:eastAsia="en-US"/>
              </w:rPr>
              <w:t>EU environmental law and policy</w:t>
            </w:r>
            <w:r w:rsidRPr="00A95024">
              <w:rPr>
                <w:rFonts w:ascii="Playfair Display" w:hAnsi="Playfair Display"/>
                <w:lang w:val="en-US" w:eastAsia="en-US"/>
              </w:rPr>
              <w:t xml:space="preserve">, </w:t>
            </w:r>
            <w:proofErr w:type="gramStart"/>
            <w:r w:rsidRPr="00A95024">
              <w:rPr>
                <w:rFonts w:ascii="Playfair Display" w:hAnsi="Playfair Display"/>
                <w:lang w:val="en-US" w:eastAsia="en-US"/>
              </w:rPr>
              <w:t>Oxford ;</w:t>
            </w:r>
            <w:proofErr w:type="gramEnd"/>
            <w:r w:rsidRPr="00A95024">
              <w:rPr>
                <w:rFonts w:ascii="Playfair Display" w:hAnsi="Playfair Display"/>
                <w:lang w:val="en-US" w:eastAsia="en-US"/>
              </w:rPr>
              <w:t xml:space="preserve"> New York : Oxford University Press, 2016, 386 p.</w:t>
            </w:r>
          </w:p>
          <w:p w:rsidR="001F75D3" w:rsidRPr="00A95024" w:rsidRDefault="001F75D3" w:rsidP="000D1F89">
            <w:pPr>
              <w:suppressAutoHyphens/>
              <w:spacing w:line="254" w:lineRule="auto"/>
              <w:rPr>
                <w:rFonts w:ascii="Playfair Display" w:hAnsi="Playfair Display"/>
                <w:lang w:val="en-GB" w:eastAsia="en-US"/>
              </w:rPr>
            </w:pPr>
            <w:r w:rsidRPr="00A95024">
              <w:rPr>
                <w:rFonts w:ascii="Playfair Display" w:hAnsi="Playfair Display"/>
                <w:lang w:val="en-GB" w:eastAsia="en-US"/>
              </w:rPr>
              <w:t xml:space="preserve">2. Hope Johnson, </w:t>
            </w:r>
            <w:r w:rsidRPr="00A95024">
              <w:rPr>
                <w:rFonts w:ascii="Playfair Display" w:hAnsi="Playfair Display"/>
                <w:i/>
                <w:iCs/>
                <w:lang w:val="en-GB" w:eastAsia="en-US"/>
              </w:rPr>
              <w:t>International agricultural law and policy: a rights-based approach to food security</w:t>
            </w:r>
            <w:r w:rsidRPr="00A95024">
              <w:rPr>
                <w:rFonts w:ascii="Playfair Display" w:hAnsi="Playfair Display"/>
                <w:lang w:val="en-GB" w:eastAsia="en-US"/>
              </w:rPr>
              <w:t>, Cheltenham, Edward Elgar Publishing, 2018, 368 p.</w:t>
            </w:r>
          </w:p>
          <w:p w:rsidR="001F75D3" w:rsidRPr="00A95024" w:rsidRDefault="001F75D3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  <w:r w:rsidRPr="00A95024">
              <w:rPr>
                <w:rFonts w:ascii="Playfair Display" w:hAnsi="Playfair Display"/>
                <w:lang w:eastAsia="en-US"/>
              </w:rPr>
              <w:t xml:space="preserve">3. </w:t>
            </w:r>
            <w:r w:rsidRPr="00A95024">
              <w:rPr>
                <w:rFonts w:ascii="Playfair Display" w:hAnsi="Playfair Display"/>
                <w:color w:val="000000"/>
                <w:lang w:val="en-GB"/>
              </w:rPr>
              <w:t xml:space="preserve">Mary Jane Angelo and </w:t>
            </w:r>
            <w:proofErr w:type="spellStart"/>
            <w:r w:rsidRPr="00A95024">
              <w:rPr>
                <w:rFonts w:ascii="Playfair Display" w:hAnsi="Playfair Display"/>
                <w:color w:val="000000"/>
                <w:lang w:val="en-GB"/>
              </w:rPr>
              <w:t>Anél</w:t>
            </w:r>
            <w:proofErr w:type="spellEnd"/>
            <w:r w:rsidRPr="00A95024">
              <w:rPr>
                <w:rFonts w:ascii="Playfair Display" w:hAnsi="Playfair Display"/>
                <w:color w:val="000000"/>
                <w:lang w:val="en-GB"/>
              </w:rPr>
              <w:t xml:space="preserve"> Du Plessis (Eds.), </w:t>
            </w:r>
            <w:r w:rsidRPr="00A95024">
              <w:rPr>
                <w:rFonts w:ascii="Playfair Display" w:hAnsi="Playfair Display"/>
                <w:i/>
                <w:iCs/>
                <w:color w:val="000000"/>
                <w:lang w:val="en-GB"/>
              </w:rPr>
              <w:t>Research handbook on climate change and agricultural law,</w:t>
            </w:r>
            <w:r w:rsidRPr="00A95024">
              <w:rPr>
                <w:rFonts w:ascii="Playfair Display" w:hAnsi="Playfair Display"/>
                <w:color w:val="000000"/>
                <w:lang w:val="en-GB"/>
              </w:rPr>
              <w:t xml:space="preserve"> Cheltenham, Edward Elgar Publishing, 2017, 472 p.</w:t>
            </w:r>
          </w:p>
          <w:p w:rsidR="001F75D3" w:rsidRPr="00A95024" w:rsidRDefault="001F75D3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A95024">
              <w:rPr>
                <w:rFonts w:ascii="Playfair Display" w:hAnsi="Playfair Display"/>
                <w:b/>
                <w:lang w:val="en-US" w:eastAsia="en-US"/>
              </w:rPr>
              <w:t>Recommended reading:</w:t>
            </w:r>
          </w:p>
          <w:p w:rsidR="001F75D3" w:rsidRPr="00A95024" w:rsidRDefault="001F75D3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proofErr w:type="spellStart"/>
            <w:r w:rsidRPr="00A95024">
              <w:rPr>
                <w:rFonts w:ascii="Playfair Display" w:hAnsi="Playfair Display"/>
                <w:lang w:val="en-US" w:eastAsia="en-US"/>
              </w:rPr>
              <w:t>Gert</w:t>
            </w:r>
            <w:proofErr w:type="spellEnd"/>
            <w:r w:rsidRPr="00A95024">
              <w:rPr>
                <w:rFonts w:ascii="Playfair Display" w:hAnsi="Playfair Display"/>
                <w:lang w:val="en-US" w:eastAsia="en-US"/>
              </w:rPr>
              <w:t xml:space="preserve"> </w:t>
            </w:r>
            <w:proofErr w:type="spellStart"/>
            <w:r w:rsidRPr="00A95024">
              <w:rPr>
                <w:rFonts w:ascii="Playfair Display" w:hAnsi="Playfair Display"/>
                <w:lang w:val="en-US" w:eastAsia="en-US"/>
              </w:rPr>
              <w:t>Wurtenberger</w:t>
            </w:r>
            <w:proofErr w:type="spellEnd"/>
            <w:r w:rsidRPr="00A95024">
              <w:rPr>
                <w:rFonts w:ascii="Playfair Display" w:hAnsi="Playfair Display"/>
                <w:lang w:val="en-US" w:eastAsia="en-US"/>
              </w:rPr>
              <w:t xml:space="preserve">; Paul van der </w:t>
            </w:r>
            <w:proofErr w:type="spellStart"/>
            <w:r w:rsidRPr="00A95024">
              <w:rPr>
                <w:rFonts w:ascii="Playfair Display" w:hAnsi="Playfair Display"/>
                <w:lang w:val="en-US" w:eastAsia="en-US"/>
              </w:rPr>
              <w:t>Kooij</w:t>
            </w:r>
            <w:proofErr w:type="spellEnd"/>
            <w:r w:rsidRPr="00A95024">
              <w:rPr>
                <w:rFonts w:ascii="Playfair Display" w:hAnsi="Playfair Display"/>
                <w:lang w:val="en-US" w:eastAsia="en-US"/>
              </w:rPr>
              <w:t xml:space="preserve">; Bart </w:t>
            </w:r>
            <w:proofErr w:type="spellStart"/>
            <w:r w:rsidRPr="00A95024">
              <w:rPr>
                <w:rFonts w:ascii="Playfair Display" w:hAnsi="Playfair Display"/>
                <w:lang w:val="en-US" w:eastAsia="en-US"/>
              </w:rPr>
              <w:t>Kiewiet</w:t>
            </w:r>
            <w:proofErr w:type="spellEnd"/>
            <w:r w:rsidRPr="00A95024">
              <w:rPr>
                <w:rFonts w:ascii="Playfair Display" w:hAnsi="Playfair Display"/>
                <w:lang w:val="en-US" w:eastAsia="en-US"/>
              </w:rPr>
              <w:t xml:space="preserve">; Martin </w:t>
            </w:r>
            <w:proofErr w:type="spellStart"/>
            <w:r w:rsidRPr="00A95024">
              <w:rPr>
                <w:rFonts w:ascii="Playfair Display" w:hAnsi="Playfair Display"/>
                <w:lang w:val="en-US" w:eastAsia="en-US"/>
              </w:rPr>
              <w:t>Ekvad</w:t>
            </w:r>
            <w:proofErr w:type="spellEnd"/>
            <w:r w:rsidRPr="00A95024">
              <w:rPr>
                <w:rFonts w:ascii="Playfair Display" w:hAnsi="Playfair Display"/>
                <w:lang w:val="en-US" w:eastAsia="en-US"/>
              </w:rPr>
              <w:t xml:space="preserve">, </w:t>
            </w:r>
            <w:r w:rsidRPr="00A95024">
              <w:rPr>
                <w:rFonts w:ascii="Playfair Display" w:hAnsi="Playfair Display"/>
                <w:i/>
                <w:lang w:val="en-US" w:eastAsia="en-US"/>
              </w:rPr>
              <w:t>European Union Plant Variety Protection</w:t>
            </w:r>
            <w:r w:rsidRPr="00A95024">
              <w:rPr>
                <w:rFonts w:ascii="Playfair Display" w:hAnsi="Playfair Display"/>
                <w:lang w:val="en-US" w:eastAsia="en-US"/>
              </w:rPr>
              <w:t>, 3rd Edition, Oxford University Press, 2021, ISBN: 9780192898234</w:t>
            </w:r>
          </w:p>
          <w:p w:rsidR="001F75D3" w:rsidRPr="00A95024" w:rsidRDefault="001F75D3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</w:tc>
      </w:tr>
      <w:tr w:rsidR="001F75D3" w:rsidRPr="00A95024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F75D3" w:rsidRPr="00A95024" w:rsidRDefault="001F75D3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5024">
              <w:rPr>
                <w:rFonts w:ascii="Playfair Display" w:hAnsi="Playfair Display"/>
                <w:b/>
                <w:lang w:val="en-US" w:eastAsia="en-US"/>
              </w:rPr>
              <w:t>Competencies to be acquired, related to the course:</w:t>
            </w:r>
          </w:p>
        </w:tc>
      </w:tr>
      <w:tr w:rsidR="001F75D3" w:rsidRPr="00A95024" w:rsidTr="000D1F89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75D3" w:rsidRPr="00A95024" w:rsidRDefault="001F75D3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5024">
              <w:rPr>
                <w:rFonts w:ascii="Playfair Display" w:hAnsi="Playfair Display"/>
                <w:b/>
                <w:lang w:val="en-US" w:eastAsia="en-US"/>
              </w:rPr>
              <w:t xml:space="preserve">a) Knowledge: </w:t>
            </w:r>
          </w:p>
          <w:p w:rsidR="001F75D3" w:rsidRPr="00A95024" w:rsidRDefault="001F75D3" w:rsidP="001F75D3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  <w:lang w:val="en-GB"/>
              </w:rPr>
            </w:pPr>
            <w:r w:rsidRPr="00A95024">
              <w:rPr>
                <w:rFonts w:ascii="Playfair Display" w:hAnsi="Playfair Display"/>
                <w:lang w:val="en-GB"/>
              </w:rPr>
              <w:t>sound knowledge of the most important international organisations and the EU institutions and bodies in the field of environment, food and agriculture</w:t>
            </w:r>
          </w:p>
          <w:p w:rsidR="001F75D3" w:rsidRPr="00A95024" w:rsidRDefault="001F75D3" w:rsidP="001F75D3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  <w:lang w:val="en-GB"/>
              </w:rPr>
            </w:pPr>
            <w:r w:rsidRPr="00A95024">
              <w:rPr>
                <w:rFonts w:ascii="Playfair Display" w:hAnsi="Playfair Display"/>
                <w:lang w:val="en-GB"/>
              </w:rPr>
              <w:lastRenderedPageBreak/>
              <w:t>the knowledge of the different legal, policy and scientific sources in relation to environment, food and agriculture at EU and international level</w:t>
            </w:r>
          </w:p>
          <w:p w:rsidR="001F75D3" w:rsidRPr="00A95024" w:rsidRDefault="001F75D3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5024">
              <w:rPr>
                <w:rFonts w:ascii="Playfair Display" w:hAnsi="Playfair Display"/>
                <w:b/>
                <w:lang w:val="en-US" w:eastAsia="en-US"/>
              </w:rPr>
              <w:t>b) Ability:</w:t>
            </w:r>
          </w:p>
          <w:p w:rsidR="001F75D3" w:rsidRPr="00A95024" w:rsidRDefault="001F75D3" w:rsidP="001F75D3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  <w:lang w:val="en-GB"/>
              </w:rPr>
            </w:pPr>
            <w:r w:rsidRPr="00A95024">
              <w:rPr>
                <w:rFonts w:ascii="Playfair Display" w:hAnsi="Playfair Display"/>
                <w:lang w:val="en-GB"/>
              </w:rPr>
              <w:t>ability to evaluate legal, policy and scientific documents regarding environment, food and agriculture based, among others, on their binding effect, geographical scope, the organisation who published them</w:t>
            </w:r>
          </w:p>
          <w:p w:rsidR="001F75D3" w:rsidRPr="00A95024" w:rsidRDefault="001F75D3" w:rsidP="001F75D3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  <w:lang w:val="en-GB"/>
              </w:rPr>
            </w:pPr>
            <w:r w:rsidRPr="00A95024">
              <w:rPr>
                <w:rFonts w:ascii="Playfair Display" w:hAnsi="Playfair Display"/>
                <w:lang w:val="en-GB"/>
              </w:rPr>
              <w:t>ability to carry out independent research regarding environment, food and agriculture by utilizing the databases and publications of a wide range of organisations</w:t>
            </w:r>
          </w:p>
          <w:p w:rsidR="001F75D3" w:rsidRPr="00A95024" w:rsidRDefault="001F75D3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5024">
              <w:rPr>
                <w:rFonts w:ascii="Playfair Display" w:hAnsi="Playfair Display"/>
                <w:b/>
                <w:lang w:val="en-US" w:eastAsia="en-US"/>
              </w:rPr>
              <w:t xml:space="preserve">c) Attitude: </w:t>
            </w:r>
          </w:p>
          <w:p w:rsidR="001F75D3" w:rsidRPr="00A95024" w:rsidRDefault="001F75D3" w:rsidP="001F75D3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  <w:lang w:val="en-GB"/>
              </w:rPr>
            </w:pPr>
            <w:r w:rsidRPr="00A95024">
              <w:rPr>
                <w:rFonts w:ascii="Playfair Display" w:hAnsi="Playfair Display"/>
                <w:lang w:val="en-GB"/>
              </w:rPr>
              <w:t>sensitivity to the complexity of food and agriculture-related issues, which often make it necessary to examine these topics by involving the three pillars of sustainable development, such as the environmental, social and economic pillars</w:t>
            </w:r>
          </w:p>
          <w:p w:rsidR="001F75D3" w:rsidRPr="00A95024" w:rsidRDefault="001F75D3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5024">
              <w:rPr>
                <w:rFonts w:ascii="Playfair Display" w:hAnsi="Playfair Display"/>
                <w:b/>
                <w:lang w:val="en-US" w:eastAsia="en-US"/>
              </w:rPr>
              <w:t>d) Autonomy and responsibility:</w:t>
            </w:r>
          </w:p>
          <w:p w:rsidR="001F75D3" w:rsidRPr="00A95024" w:rsidRDefault="001F75D3" w:rsidP="001F75D3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  <w:lang w:val="en-US" w:eastAsia="en-US"/>
              </w:rPr>
            </w:pPr>
            <w:r w:rsidRPr="00A95024">
              <w:rPr>
                <w:rFonts w:ascii="Playfair Display" w:hAnsi="Playfair Display"/>
                <w:lang w:val="en-GB"/>
              </w:rPr>
              <w:t>ability to take into account the legal, ethical, social and economic considerations and consequences of environment, food and agriculture, which can often come up simultaneously</w:t>
            </w:r>
          </w:p>
          <w:p w:rsidR="001F75D3" w:rsidRPr="00A95024" w:rsidRDefault="001F75D3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</w:p>
        </w:tc>
      </w:tr>
    </w:tbl>
    <w:p w:rsidR="001F75D3" w:rsidRPr="00A95024" w:rsidRDefault="001F75D3" w:rsidP="001F75D3">
      <w:pPr>
        <w:suppressAutoHyphens/>
        <w:rPr>
          <w:rFonts w:ascii="Playfair Display" w:hAnsi="Playfair Displ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F75D3" w:rsidRPr="00A95024" w:rsidTr="000D1F89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75D3" w:rsidRPr="00A95024" w:rsidRDefault="001F75D3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5024">
              <w:rPr>
                <w:rFonts w:ascii="Playfair Display" w:hAnsi="Playfair Display"/>
                <w:b/>
                <w:lang w:val="en-US" w:eastAsia="en-US"/>
              </w:rPr>
              <w:t xml:space="preserve">Course leader </w:t>
            </w:r>
            <w:r w:rsidRPr="00A95024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A95024">
              <w:rPr>
                <w:rFonts w:ascii="Playfair Display" w:hAnsi="Playfair Display"/>
                <w:b/>
                <w:lang w:val="en-US" w:eastAsia="en-US"/>
              </w:rPr>
              <w:t xml:space="preserve"> Dr. </w:t>
            </w:r>
            <w:proofErr w:type="spellStart"/>
            <w:r w:rsidRPr="00A95024">
              <w:rPr>
                <w:rFonts w:ascii="Playfair Display" w:hAnsi="Playfair Display"/>
                <w:b/>
                <w:lang w:val="en-US" w:eastAsia="en-US"/>
              </w:rPr>
              <w:t>Ágnes</w:t>
            </w:r>
            <w:proofErr w:type="spellEnd"/>
            <w:r w:rsidRPr="00A95024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A95024">
              <w:rPr>
                <w:rFonts w:ascii="Playfair Display" w:hAnsi="Playfair Display"/>
                <w:b/>
                <w:lang w:val="en-US" w:eastAsia="en-US"/>
              </w:rPr>
              <w:t>Bujdos</w:t>
            </w:r>
            <w:proofErr w:type="spellEnd"/>
            <w:r w:rsidRPr="00A95024">
              <w:rPr>
                <w:rFonts w:ascii="Playfair Display" w:hAnsi="Playfair Display"/>
                <w:b/>
                <w:lang w:val="en-US" w:eastAsia="en-US"/>
              </w:rPr>
              <w:t>, PhD, IP Lawyer</w:t>
            </w:r>
          </w:p>
        </w:tc>
      </w:tr>
      <w:tr w:rsidR="001F75D3" w:rsidRPr="00A95024" w:rsidTr="000D1F89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75D3" w:rsidRPr="00A95024" w:rsidRDefault="001F75D3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5024">
              <w:rPr>
                <w:rFonts w:ascii="Playfair Display" w:hAnsi="Playfair Display"/>
                <w:b/>
                <w:lang w:val="en-US" w:eastAsia="en-US"/>
              </w:rPr>
              <w:t xml:space="preserve">Other lecturer(s) involved in teaching the course, if any </w:t>
            </w:r>
            <w:r w:rsidRPr="00A95024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A95024">
              <w:rPr>
                <w:rFonts w:ascii="Playfair Display" w:hAnsi="Playfair Display"/>
                <w:b/>
                <w:lang w:val="en-US" w:eastAsia="en-US"/>
              </w:rPr>
              <w:t xml:space="preserve"> -</w:t>
            </w:r>
          </w:p>
        </w:tc>
      </w:tr>
    </w:tbl>
    <w:p w:rsidR="00314FB7" w:rsidRPr="001F75D3" w:rsidRDefault="00314FB7" w:rsidP="001F75D3"/>
    <w:sectPr w:rsidR="00314FB7" w:rsidRPr="001F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743E51"/>
    <w:multiLevelType w:val="hybridMultilevel"/>
    <w:tmpl w:val="F4FC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5D81347"/>
    <w:multiLevelType w:val="hybridMultilevel"/>
    <w:tmpl w:val="75FC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851C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B45357C"/>
    <w:multiLevelType w:val="multilevel"/>
    <w:tmpl w:val="05865948"/>
    <w:lvl w:ilvl="0">
      <w:start w:val="3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-%2."/>
      <w:lvlJc w:val="left"/>
      <w:pPr>
        <w:ind w:left="1129" w:hanging="37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22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982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40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85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96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18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6" w15:restartNumberingAfterBreak="0">
    <w:nsid w:val="2F9D5830"/>
    <w:multiLevelType w:val="multilevel"/>
    <w:tmpl w:val="F4947324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  <w:i w:val="0"/>
      </w:rPr>
    </w:lvl>
    <w:lvl w:ilvl="1">
      <w:start w:val="10"/>
      <w:numFmt w:val="decimal"/>
      <w:lvlText w:val="%1-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40BA588D"/>
    <w:multiLevelType w:val="multilevel"/>
    <w:tmpl w:val="1826E8D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A9C77C1"/>
    <w:multiLevelType w:val="hybridMultilevel"/>
    <w:tmpl w:val="3A4E106E"/>
    <w:lvl w:ilvl="0" w:tplc="05A607D0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4DA75311"/>
    <w:multiLevelType w:val="hybridMultilevel"/>
    <w:tmpl w:val="AB7AE5D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F720B11"/>
    <w:multiLevelType w:val="hybridMultilevel"/>
    <w:tmpl w:val="0B02D0A8"/>
    <w:lvl w:ilvl="0" w:tplc="BA80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22277"/>
    <w:multiLevelType w:val="hybridMultilevel"/>
    <w:tmpl w:val="879835F6"/>
    <w:lvl w:ilvl="0" w:tplc="3FDEBD10">
      <w:start w:val="10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3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1606CBD"/>
    <w:multiLevelType w:val="hybridMultilevel"/>
    <w:tmpl w:val="D3944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4097B"/>
    <w:multiLevelType w:val="hybridMultilevel"/>
    <w:tmpl w:val="AF0CF03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6C5E1A89"/>
    <w:multiLevelType w:val="hybridMultilevel"/>
    <w:tmpl w:val="5C4AE01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0FB1989"/>
    <w:multiLevelType w:val="multilevel"/>
    <w:tmpl w:val="ABE62A4C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6"/>
      <w:numFmt w:val="decimal"/>
      <w:lvlText w:val="%1-%2.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9" w15:restartNumberingAfterBreak="0">
    <w:nsid w:val="757A0914"/>
    <w:multiLevelType w:val="hybridMultilevel"/>
    <w:tmpl w:val="D668087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773A49B6"/>
    <w:multiLevelType w:val="hybridMultilevel"/>
    <w:tmpl w:val="2AF4476E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9ED3B00"/>
    <w:multiLevelType w:val="multilevel"/>
    <w:tmpl w:val="62DE4226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  <w:i w:val="0"/>
      </w:rPr>
    </w:lvl>
    <w:lvl w:ilvl="1">
      <w:start w:val="14"/>
      <w:numFmt w:val="decimal"/>
      <w:lvlText w:val="%1-%2."/>
      <w:lvlJc w:val="left"/>
      <w:pPr>
        <w:ind w:left="615" w:hanging="61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7ACA7CAC"/>
    <w:multiLevelType w:val="hybridMultilevel"/>
    <w:tmpl w:val="F790D690"/>
    <w:lvl w:ilvl="0" w:tplc="8F68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9"/>
  </w:num>
  <w:num w:numId="5">
    <w:abstractNumId w:val="16"/>
  </w:num>
  <w:num w:numId="6">
    <w:abstractNumId w:val="15"/>
  </w:num>
  <w:num w:numId="7">
    <w:abstractNumId w:val="1"/>
  </w:num>
  <w:num w:numId="8">
    <w:abstractNumId w:val="0"/>
  </w:num>
  <w:num w:numId="9">
    <w:abstractNumId w:val="13"/>
  </w:num>
  <w:num w:numId="10">
    <w:abstractNumId w:val="18"/>
  </w:num>
  <w:num w:numId="11">
    <w:abstractNumId w:val="7"/>
  </w:num>
  <w:num w:numId="12">
    <w:abstractNumId w:val="6"/>
  </w:num>
  <w:num w:numId="13">
    <w:abstractNumId w:val="21"/>
  </w:num>
  <w:num w:numId="14">
    <w:abstractNumId w:val="10"/>
  </w:num>
  <w:num w:numId="15">
    <w:abstractNumId w:val="8"/>
  </w:num>
  <w:num w:numId="16">
    <w:abstractNumId w:val="4"/>
  </w:num>
  <w:num w:numId="17">
    <w:abstractNumId w:val="11"/>
  </w:num>
  <w:num w:numId="18">
    <w:abstractNumId w:val="9"/>
  </w:num>
  <w:num w:numId="19">
    <w:abstractNumId w:val="22"/>
  </w:num>
  <w:num w:numId="20">
    <w:abstractNumId w:val="5"/>
  </w:num>
  <w:num w:numId="21">
    <w:abstractNumId w:val="12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0"/>
    <w:rsid w:val="00007592"/>
    <w:rsid w:val="00030294"/>
    <w:rsid w:val="001E2C0B"/>
    <w:rsid w:val="001F75D3"/>
    <w:rsid w:val="002A5D29"/>
    <w:rsid w:val="00314FB7"/>
    <w:rsid w:val="00527EC5"/>
    <w:rsid w:val="006E1313"/>
    <w:rsid w:val="007B5C65"/>
    <w:rsid w:val="009D08DD"/>
    <w:rsid w:val="00A45160"/>
    <w:rsid w:val="00AD0A43"/>
    <w:rsid w:val="00D21338"/>
    <w:rsid w:val="00E017A5"/>
    <w:rsid w:val="00E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925"/>
  <w15:chartTrackingRefBased/>
  <w15:docId w15:val="{DDD39EEF-1356-4114-AE04-53DCC1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160"/>
    <w:pPr>
      <w:ind w:left="720"/>
      <w:contextualSpacing/>
    </w:pPr>
    <w:rPr>
      <w:lang w:val="en-GB"/>
    </w:rPr>
  </w:style>
  <w:style w:type="character" w:customStyle="1" w:styleId="tlid-translationtranslation">
    <w:name w:val="tlid-translation translation"/>
    <w:rsid w:val="00E5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2022-10-28T07:00:00Z</dcterms:created>
  <dcterms:modified xsi:type="dcterms:W3CDTF">2022-10-28T07:00:00Z</dcterms:modified>
</cp:coreProperties>
</file>